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535"/>
        <w:gridCol w:w="2515"/>
      </w:tblGrid>
      <w:tr w:rsidR="00000000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inline distT="0" distB="0" distL="0" distR="0">
                  <wp:extent cx="2019582" cy="533474"/>
                  <wp:effectExtent l="0" t="0" r="0" b="0"/>
                  <wp:docPr id="1" name="Picture 1" descr="Preq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q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82" cy="53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pStyle w:val="Heading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Fund Manager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Created for Jeremy Goff 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Date: 08 - Mar - 202</w:t>
            </w: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</w:tbl>
    <w:p w:rsidR="00000000" w:rsidRDefault="0099706B">
      <w:pPr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shd w:val="clear" w:color="auto" w:fill="A8A8A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47"/>
        <w:gridCol w:w="3188"/>
      </w:tblGrid>
      <w:tr w:rsidR="00000000">
        <w:tc>
          <w:tcPr>
            <w:tcW w:w="350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Generate Capital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spacing w:before="90" w:after="90"/>
              <w:ind w:left="150" w:right="150"/>
              <w:jc w:val="right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Overview</w:t>
            </w:r>
          </w:p>
        </w:tc>
      </w:tr>
    </w:tbl>
    <w:p w:rsidR="00000000" w:rsidRDefault="0099706B">
      <w:pPr>
        <w:spacing w:after="0"/>
        <w:divId w:val="1495955408"/>
        <w:rPr>
          <w:rFonts w:ascii="Calibri" w:eastAsia="Times New Roman" w:hAnsi="Calibr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1538"/>
        <w:gridCol w:w="4306"/>
        <w:gridCol w:w="2221"/>
      </w:tblGrid>
      <w:tr w:rsidR="00000000">
        <w:trPr>
          <w:divId w:val="16340163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Alternative Asset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Last Updated</w:t>
            </w:r>
          </w:p>
        </w:tc>
      </w:tr>
      <w:tr w:rsidR="00000000">
        <w:trPr>
          <w:divId w:val="163401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INF,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18 - Nov - 20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2811"/>
        <w:gridCol w:w="2366"/>
        <w:gridCol w:w="1406"/>
        <w:gridCol w:w="2794"/>
      </w:tblGrid>
      <w:tr w:rsidR="00000000">
        <w:trPr>
          <w:divId w:val="42568906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 CURRENTLY MANAGED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FUNDS RAISED IN LAST 10 YEARS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EST. DRY POWDER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</w:t>
            </w:r>
          </w:p>
        </w:tc>
      </w:tr>
      <w:tr w:rsidR="00000000">
        <w:trPr>
          <w:divId w:val="42568906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Opportunistic</w:t>
            </w:r>
          </w:p>
        </w:tc>
      </w:tr>
      <w:tr w:rsidR="00000000">
        <w:trPr>
          <w:divId w:val="42568906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Natural Resources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Water, Energy, Agriculture/Farmland</w:t>
            </w:r>
          </w:p>
        </w:tc>
      </w:tr>
    </w:tbl>
    <w:p w:rsidR="00000000" w:rsidRDefault="0099706B">
      <w:pPr>
        <w:pStyle w:val="Heading3"/>
        <w:shd w:val="clear" w:color="auto" w:fill="A8A8A8"/>
        <w:divId w:val="1662586011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Background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878"/>
        <w:gridCol w:w="1340"/>
        <w:gridCol w:w="2920"/>
        <w:gridCol w:w="2697"/>
      </w:tblGrid>
      <w:tr w:rsidR="00000000">
        <w:trPr>
          <w:divId w:val="99368217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Year Established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Management Team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Team Staff</w:t>
            </w:r>
          </w:p>
        </w:tc>
      </w:tr>
      <w:tr w:rsidR="00000000">
        <w:trPr>
          <w:divId w:val="993682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Independent 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</w:tr>
    </w:tbl>
    <w:p w:rsidR="00000000" w:rsidRDefault="0099706B">
      <w:pPr>
        <w:pStyle w:val="Heading4"/>
        <w:divId w:val="32089377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About</w:t>
      </w:r>
    </w:p>
    <w:p w:rsidR="00000000" w:rsidRDefault="0099706B">
      <w:pPr>
        <w:pStyle w:val="keyinfotilecontentblocktext"/>
        <w:divId w:val="3208937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Generate Capital is a US-based infrastructure firm that invests and provides sustainable infrastructure solutions. Established in 2014, the firm b</w:t>
      </w:r>
      <w:r>
        <w:rPr>
          <w:rFonts w:ascii="Calibri" w:hAnsi="Calibri"/>
          <w:sz w:val="20"/>
          <w:szCs w:val="20"/>
        </w:rPr>
        <w:t>uilds, operates, and finances sustainable infrastructure assets such as energy, mobility, water, waste management, and agriculture.</w:t>
      </w:r>
    </w:p>
    <w:p w:rsidR="00000000" w:rsidRDefault="0099706B">
      <w:pPr>
        <w:pStyle w:val="Heading4"/>
        <w:divId w:val="137337980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Firm Ethos</w:t>
      </w:r>
    </w:p>
    <w:p w:rsidR="00000000" w:rsidRDefault="0099706B">
      <w:pPr>
        <w:pStyle w:val="keyinfotilecontentblocktext"/>
        <w:divId w:val="137337980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Environmentally Responsible</w:t>
      </w:r>
    </w:p>
    <w:p w:rsidR="00000000" w:rsidRDefault="0099706B">
      <w:pPr>
        <w:pStyle w:val="Heading3"/>
        <w:shd w:val="clear" w:color="auto" w:fill="A8A8A8"/>
        <w:divId w:val="1867521038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Address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5865"/>
        <w:gridCol w:w="1735"/>
        <w:gridCol w:w="416"/>
      </w:tblGrid>
      <w:tr w:rsidR="00000000">
        <w:trPr>
          <w:divId w:val="41845423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</w:tr>
      <w:tr w:rsidR="00000000">
        <w:trPr>
          <w:divId w:val="41845423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555 De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Haro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Street , Suite 300, San Francisco, CA, 94107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+1 415 360 3063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41845423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EMAIL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845423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info@generatecapital.com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http://www.generatecapital.co</w:t>
              </w:r>
              <w:r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000000" w:rsidRDefault="0099706B">
      <w:pPr>
        <w:pStyle w:val="Heading3"/>
        <w:shd w:val="clear" w:color="auto" w:fill="A8A8A8"/>
        <w:divId w:val="43459205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Contacts - </w:t>
      </w:r>
    </w:p>
    <w:p w:rsidR="00000000" w:rsidRDefault="0099706B">
      <w:pPr>
        <w:pStyle w:val="Heading3"/>
        <w:shd w:val="clear" w:color="auto" w:fill="A8A8A8"/>
        <w:divId w:val="1593275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8 known contacts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6"/>
        <w:gridCol w:w="6"/>
        <w:gridCol w:w="2650"/>
        <w:gridCol w:w="1488"/>
        <w:gridCol w:w="2536"/>
        <w:gridCol w:w="1630"/>
        <w:gridCol w:w="1018"/>
      </w:tblGrid>
      <w:tr w:rsidR="00000000">
        <w:trPr>
          <w:divId w:val="160387797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CONTACT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Bossange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Principal, Head of Capital Markets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+1 415 360 3063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Eduardo Clemente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divId w:val="1175459764"/>
              <w:rPr>
                <w:rFonts w:ascii="Calibri" w:eastAsia="Times New Roman" w:hAnsi="Calibri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eduardo@generatecapital.com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3249 0792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Gosselink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Principal, Head of Underwriting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+1 415 360 3063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Scott Jacobs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CEO &amp; Co-Founder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+1 415 889 8884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Sarah Lovell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VP, Asset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Mgmt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&amp; Operations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+1 415 360 3063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Rob Moore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divId w:val="1476485172"/>
              <w:rPr>
                <w:rFonts w:ascii="Calibri" w:eastAsia="Times New Roman" w:hAnsi="Calibri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rmoore@aimlp.com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+1 650 854 6000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Jeff Ross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+1 415 360 3063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  <w:tr w:rsidR="00000000">
        <w:trPr>
          <w:divId w:val="160387797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Jack Stark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CFO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+1 415 360 3063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</w:t>
            </w:r>
          </w:p>
        </w:tc>
      </w:tr>
    </w:tbl>
    <w:p w:rsidR="00000000" w:rsidRDefault="0099706B">
      <w:pPr>
        <w:pStyle w:val="Heading3"/>
        <w:shd w:val="clear" w:color="auto" w:fill="A8A8A8"/>
        <w:divId w:val="94943345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- Infrastructure</w:t>
      </w:r>
    </w:p>
    <w:p w:rsidR="00000000" w:rsidRDefault="0099706B">
      <w:pPr>
        <w:pStyle w:val="Heading4"/>
        <w:divId w:val="60287940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99706B">
      <w:pPr>
        <w:pStyle w:val="keyinfotilecontentblocktext"/>
        <w:divId w:val="60287940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</w:t>
      </w:r>
    </w:p>
    <w:p w:rsidR="00000000" w:rsidRDefault="0099706B">
      <w:pPr>
        <w:pStyle w:val="Heading4"/>
        <w:divId w:val="195043156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p w:rsidR="00000000" w:rsidRDefault="0099706B">
      <w:pPr>
        <w:pStyle w:val="keyinfotilecontentblocktext"/>
        <w:divId w:val="195043156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Water, Waste Management, Energy, Renewable Energy, Natural Resources</w:t>
      </w:r>
    </w:p>
    <w:p w:rsidR="00000000" w:rsidRDefault="0099706B">
      <w:pPr>
        <w:pStyle w:val="Heading4"/>
        <w:divId w:val="20868887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99706B">
      <w:pPr>
        <w:pStyle w:val="keyinfotilecontentblocktext"/>
        <w:divId w:val="2086888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p w:rsidR="00000000" w:rsidRDefault="0099706B">
      <w:pPr>
        <w:pStyle w:val="Heading4"/>
        <w:divId w:val="153881374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Project Stages</w:t>
      </w:r>
    </w:p>
    <w:p w:rsidR="00000000" w:rsidRDefault="0099706B">
      <w:pPr>
        <w:pStyle w:val="keyinfotilecontentblocktext"/>
        <w:divId w:val="153881374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Greenfield, Brownfield</w:t>
      </w:r>
    </w:p>
    <w:p w:rsidR="00000000" w:rsidRDefault="0099706B">
      <w:pPr>
        <w:pStyle w:val="Heading3"/>
        <w:shd w:val="clear" w:color="auto" w:fill="A8A8A8"/>
        <w:divId w:val="42961842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Natural Resources - Natural Resources</w:t>
      </w:r>
    </w:p>
    <w:p w:rsidR="00000000" w:rsidRDefault="0099706B">
      <w:pPr>
        <w:pStyle w:val="Heading4"/>
        <w:divId w:val="109355073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99706B">
      <w:pPr>
        <w:pStyle w:val="keyinfotilecontentblocktext"/>
        <w:divId w:val="109355073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</w:t>
      </w:r>
    </w:p>
    <w:p w:rsidR="00000000" w:rsidRDefault="0099706B">
      <w:pPr>
        <w:pStyle w:val="Heading4"/>
        <w:divId w:val="35542793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99706B">
      <w:pPr>
        <w:pStyle w:val="keyinfotilecontentblocktext"/>
        <w:divId w:val="35542793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4403"/>
      </w:tblGrid>
      <w:tr w:rsidR="00000000">
        <w:trPr>
          <w:divId w:val="103234636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Main Firm Stra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Manage MLPs</w:t>
            </w:r>
          </w:p>
        </w:tc>
      </w:tr>
      <w:tr w:rsidR="00000000">
        <w:trPr>
          <w:divId w:val="103234636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</w:tr>
    </w:tbl>
    <w:p w:rsidR="00000000" w:rsidRDefault="0099706B">
      <w:pPr>
        <w:pStyle w:val="Heading3"/>
        <w:divId w:val="136324197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Investment Criteria</w:t>
      </w:r>
    </w:p>
    <w:p w:rsidR="00000000" w:rsidRDefault="0099706B">
      <w:pPr>
        <w:pStyle w:val="tilewithkeyinfoandlisttablesubtitle"/>
        <w:divId w:val="38025592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Agriculture/Farmland, Energy, Water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4325"/>
      </w:tblGrid>
      <w:tr w:rsidR="00000000">
        <w:trPr>
          <w:divId w:val="144639035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Strategies/Situations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Sectors</w:t>
            </w:r>
          </w:p>
        </w:tc>
      </w:tr>
      <w:tr w:rsidR="00000000">
        <w:trPr>
          <w:divId w:val="144639035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Efficiency, Active Management, Development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Water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Processes: Water Utilities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Energy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Commodities: Oil, Renewables</w:t>
            </w:r>
          </w:p>
        </w:tc>
      </w:tr>
    </w:tbl>
    <w:p w:rsidR="00000000" w:rsidRDefault="0099706B">
      <w:pPr>
        <w:pStyle w:val="Heading3"/>
        <w:shd w:val="clear" w:color="auto" w:fill="A8A8A8"/>
        <w:divId w:val="15500297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Capital Funds Managed - 1 Fund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749"/>
        <w:gridCol w:w="1754"/>
        <w:gridCol w:w="834"/>
        <w:gridCol w:w="1287"/>
        <w:gridCol w:w="1184"/>
        <w:gridCol w:w="1109"/>
        <w:gridCol w:w="1122"/>
        <w:gridCol w:w="1489"/>
      </w:tblGrid>
      <w:tr w:rsidR="00000000">
        <w:trPr>
          <w:divId w:val="151152903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Vintage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Structure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Currency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Closed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Target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Region Focus</w:t>
            </w:r>
          </w:p>
        </w:tc>
      </w:tr>
      <w:tr w:rsidR="00000000">
        <w:trPr>
          <w:divId w:val="151152903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Generate Capital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Opportunistic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Open Ended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</w:tr>
    </w:tbl>
    <w:p w:rsidR="00000000" w:rsidRDefault="0099706B">
      <w:pPr>
        <w:pStyle w:val="Heading3"/>
        <w:shd w:val="clear" w:color="auto" w:fill="A8A8A8"/>
        <w:divId w:val="185364525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Investors - 2 Known 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1470"/>
        <w:gridCol w:w="2292"/>
        <w:gridCol w:w="1191"/>
        <w:gridCol w:w="993"/>
        <w:gridCol w:w="1276"/>
      </w:tblGrid>
      <w:tr w:rsidR="00000000">
        <w:trPr>
          <w:divId w:val="96141860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lastRenderedPageBreak/>
              <w:t>INVESTOR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96141860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Alaska Permanent Fund Corporation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Sovereign Wealth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Juneau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96141860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AP-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Fonden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Gothenburg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</w:tbl>
    <w:p w:rsidR="00000000" w:rsidRDefault="0099706B">
      <w:pPr>
        <w:pStyle w:val="Heading3"/>
        <w:shd w:val="clear" w:color="auto" w:fill="A8A8A8"/>
        <w:divId w:val="170355625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Fund Service Providers - 2 Fund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514"/>
        <w:gridCol w:w="1373"/>
        <w:gridCol w:w="1022"/>
        <w:gridCol w:w="1733"/>
      </w:tblGrid>
      <w:tr w:rsidR="00000000">
        <w:trPr>
          <w:divId w:val="176776893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176776893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Brooklands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Capital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Placement Agent</w:t>
            </w:r>
          </w:p>
        </w:tc>
      </w:tr>
      <w:tr w:rsidR="00000000">
        <w:trPr>
          <w:divId w:val="176776893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Merrill Lynch, Pierce,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Fenner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Smith Incorporated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9706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Placement Agent</w:t>
            </w:r>
          </w:p>
        </w:tc>
      </w:tr>
    </w:tbl>
    <w:p w:rsidR="00000000" w:rsidRDefault="0099706B">
      <w:pPr>
        <w:divId w:val="1767768935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F"/>
    <w:rsid w:val="0099706B"/>
    <w:rsid w:val="00D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99307-4454-4F2A-A1D5-99DE1E04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pPr>
      <w:spacing w:before="90" w:after="9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3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keyinfotilecontentblocktext">
    <w:name w:val="keyinfotile__contentblock__text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withkeyinfoandlisttablesubtitle">
    <w:name w:val="tilewithkeyinfoandlist__tablesubtitle"/>
    <w:basedOn w:val="Normal"/>
    <w:pPr>
      <w:pBdr>
        <w:bottom w:val="single" w:sz="6" w:space="0" w:color="4F5255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actstablelocationcity">
    <w:name w:val="contactstable__location__city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2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8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2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5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4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ore@aiml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ardo@generatecapi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ratecapital.com" TargetMode="External"/><Relationship Id="rId5" Type="http://schemas.openxmlformats.org/officeDocument/2006/relationships/hyperlink" Target="mailto:info@generatecapita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Tortoise Capital Advisors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Goff</dc:creator>
  <cp:lastModifiedBy>Jeremy Goff</cp:lastModifiedBy>
  <cp:revision>2</cp:revision>
  <dcterms:created xsi:type="dcterms:W3CDTF">2021-03-08T15:23:00Z</dcterms:created>
  <dcterms:modified xsi:type="dcterms:W3CDTF">2021-03-08T15:23:00Z</dcterms:modified>
</cp:coreProperties>
</file>