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535"/>
        <w:gridCol w:w="2515"/>
      </w:tblGrid>
      <w:tr w:rsidR="00000000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2019582" cy="533474"/>
                  <wp:effectExtent l="0" t="0" r="0" b="0"/>
                  <wp:docPr id="1" name="Picture 1" descr="Preq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q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82" cy="5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pStyle w:val="Heading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Fund Manager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Created for Jeremy Goff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Date: 08 - Mar - 202</w:t>
            </w: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</w:tbl>
    <w:p w:rsidR="00000000" w:rsidRDefault="00534ED8">
      <w:pPr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shd w:val="clear" w:color="auto" w:fill="A8A8A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47"/>
        <w:gridCol w:w="3188"/>
      </w:tblGrid>
      <w:tr w:rsidR="00000000">
        <w:tc>
          <w:tcPr>
            <w:tcW w:w="350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Lansdowne Partners (UK)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spacing w:before="90" w:after="90"/>
              <w:ind w:left="150" w:right="150"/>
              <w:jc w:val="right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Overview</w:t>
            </w:r>
          </w:p>
        </w:tc>
      </w:tr>
    </w:tbl>
    <w:p w:rsidR="00000000" w:rsidRDefault="00534ED8">
      <w:pPr>
        <w:spacing w:after="0"/>
        <w:divId w:val="1120994901"/>
        <w:rPr>
          <w:rFonts w:ascii="Calibri" w:eastAsia="Times New Roman" w:hAnsi="Calibr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1487"/>
        <w:gridCol w:w="4162"/>
        <w:gridCol w:w="2147"/>
      </w:tblGrid>
      <w:tr w:rsidR="00000000">
        <w:trPr>
          <w:divId w:val="194723223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Alternative Asset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Last Updated</w:t>
            </w:r>
          </w:p>
        </w:tc>
      </w:tr>
      <w:tr w:rsidR="00000000">
        <w:trPr>
          <w:divId w:val="1947232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18 - Jan - 21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4274"/>
        <w:gridCol w:w="1550"/>
        <w:gridCol w:w="1596"/>
        <w:gridCol w:w="1964"/>
      </w:tblGrid>
      <w:tr w:rsidR="00000000">
        <w:trPr>
          <w:divId w:val="99942589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 CURRENTLY MANAGED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AUM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OF AUM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</w:t>
            </w:r>
          </w:p>
        </w:tc>
      </w:tr>
      <w:tr w:rsidR="00000000">
        <w:trPr>
          <w:divId w:val="9994258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9,061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</w:tr>
    </w:tbl>
    <w:p w:rsidR="00000000" w:rsidRDefault="00534ED8">
      <w:pPr>
        <w:pStyle w:val="Heading3"/>
        <w:shd w:val="clear" w:color="auto" w:fill="A8A8A8"/>
        <w:divId w:val="178954379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Background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412"/>
        <w:gridCol w:w="4852"/>
      </w:tblGrid>
      <w:tr w:rsidR="00000000">
        <w:trPr>
          <w:divId w:val="66802730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Year Established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Team Staff</w:t>
            </w:r>
          </w:p>
        </w:tc>
      </w:tr>
      <w:tr w:rsidR="00000000">
        <w:trPr>
          <w:divId w:val="668027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25</w:t>
            </w:r>
          </w:p>
        </w:tc>
      </w:tr>
    </w:tbl>
    <w:p w:rsidR="00000000" w:rsidRDefault="00534ED8">
      <w:pPr>
        <w:pStyle w:val="Heading4"/>
        <w:divId w:val="209755110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About</w:t>
      </w:r>
    </w:p>
    <w:p w:rsidR="00000000" w:rsidRDefault="00534ED8">
      <w:pPr>
        <w:pStyle w:val="keyinfotilecontentblocktext"/>
        <w:divId w:val="209755110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Founded in Q3 of 1998, Lansdowne Partners (UK) is a London-based hedge fund manager, managing funds for a diversified institutional client base. The firm manages developed markets equity, European equity, and global sector equity strategies. Each strategy </w:t>
      </w:r>
      <w:r>
        <w:rPr>
          <w:rFonts w:ascii="Calibri" w:hAnsi="Calibri"/>
          <w:sz w:val="20"/>
          <w:szCs w:val="20"/>
        </w:rPr>
        <w:t xml:space="preserve">has its own dedicated team of portfolio managers and analysts. Its objective is to generate long-term financial returns by </w:t>
      </w:r>
      <w:proofErr w:type="gramStart"/>
      <w:r>
        <w:rPr>
          <w:rFonts w:ascii="Calibri" w:hAnsi="Calibri"/>
          <w:sz w:val="20"/>
          <w:szCs w:val="20"/>
        </w:rPr>
        <w:t>employing</w:t>
      </w:r>
      <w:proofErr w:type="gramEnd"/>
      <w:r>
        <w:rPr>
          <w:rFonts w:ascii="Calibri" w:hAnsi="Calibri"/>
          <w:sz w:val="20"/>
          <w:szCs w:val="20"/>
        </w:rPr>
        <w:t xml:space="preserve"> investment talent within its experienced operational and compliance infrastructure.</w:t>
      </w:r>
    </w:p>
    <w:p w:rsidR="00000000" w:rsidRDefault="00534ED8">
      <w:pPr>
        <w:pStyle w:val="Heading3"/>
        <w:shd w:val="clear" w:color="auto" w:fill="A8A8A8"/>
        <w:divId w:val="122305479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Addresses - </w:t>
      </w:r>
    </w:p>
    <w:p w:rsidR="00000000" w:rsidRDefault="00534ED8">
      <w:pPr>
        <w:pStyle w:val="Heading3"/>
        <w:shd w:val="clear" w:color="auto" w:fill="A8A8A8"/>
        <w:divId w:val="102768483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2 Addresses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4035"/>
        <w:gridCol w:w="1868"/>
        <w:gridCol w:w="1868"/>
      </w:tblGrid>
      <w:tr w:rsidR="00000000">
        <w:trPr>
          <w:divId w:val="66008379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</w:tr>
      <w:tr w:rsidR="00000000">
        <w:trPr>
          <w:divId w:val="6600837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 (HQ)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Davies Street, Mayfair, London, W1K 3AG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7409 1122</w:t>
            </w:r>
          </w:p>
        </w:tc>
      </w:tr>
      <w:tr w:rsidR="00000000">
        <w:trPr>
          <w:divId w:val="6600837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EMAIL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00837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/>
                </w:rPr>
                <w:t>info@lansdownepartners.com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Calibri" w:eastAsia="Times New Roman" w:hAnsi="Calibri"/>
                </w:rPr>
                <w:t>http://www.lansdownepartners.com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000000" w:rsidRDefault="00534ED8">
      <w:pPr>
        <w:divId w:val="363559992"/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810"/>
        <w:gridCol w:w="1283"/>
        <w:gridCol w:w="426"/>
        <w:gridCol w:w="699"/>
        <w:gridCol w:w="967"/>
        <w:gridCol w:w="1538"/>
      </w:tblGrid>
      <w:tr w:rsidR="00000000">
        <w:trPr>
          <w:divId w:val="36355999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MAP</w:t>
            </w:r>
          </w:p>
        </w:tc>
      </w:tr>
      <w:tr w:rsidR="00000000">
        <w:trPr>
          <w:divId w:val="36355999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Ireland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Customs House Plaza, Block 6, IFSC, Dublin, 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</w:tbl>
    <w:p w:rsidR="00000000" w:rsidRDefault="00534ED8">
      <w:pPr>
        <w:pStyle w:val="Heading3"/>
        <w:shd w:val="clear" w:color="auto" w:fill="A8A8A8"/>
        <w:divId w:val="196727566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Historical Hedge Funds AUM</w:t>
      </w:r>
    </w:p>
    <w:p w:rsidR="00000000" w:rsidRDefault="00534ED8">
      <w:pPr>
        <w:pStyle w:val="keyinfolistitem--title"/>
        <w:divId w:val="68093777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Hedge Fund Assets</w:t>
      </w:r>
    </w:p>
    <w:p w:rsidR="00000000" w:rsidRDefault="00534ED8">
      <w:pPr>
        <w:pStyle w:val="keyinfolistitem--value"/>
        <w:divId w:val="68093777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USD 9,061 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</w:p>
    <w:p w:rsidR="00000000" w:rsidRDefault="00534ED8">
      <w:pPr>
        <w:pStyle w:val="keyinfolistitem--title"/>
        <w:divId w:val="3273406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 of Assets</w:t>
      </w:r>
    </w:p>
    <w:p w:rsidR="00000000" w:rsidRDefault="00534ED8">
      <w:pPr>
        <w:pStyle w:val="keyinfolistitem--value"/>
        <w:divId w:val="3273406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30-Sep-20</w:t>
      </w:r>
    </w:p>
    <w:p w:rsidR="00000000" w:rsidRDefault="00534ED8">
      <w:pPr>
        <w:pStyle w:val="Heading4"/>
        <w:divId w:val="159501684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Assets </w:t>
      </w:r>
      <w:proofErr w:type="gramStart"/>
      <w:r>
        <w:rPr>
          <w:rFonts w:ascii="Calibri" w:eastAsia="Times New Roman" w:hAnsi="Calibri"/>
        </w:rPr>
        <w:t>Under</w:t>
      </w:r>
      <w:proofErr w:type="gramEnd"/>
      <w:r>
        <w:rPr>
          <w:rFonts w:ascii="Calibri" w:eastAsia="Times New Roman" w:hAnsi="Calibri"/>
        </w:rPr>
        <w:t xml:space="preserve"> Management</w:t>
      </w:r>
    </w:p>
    <w:p w:rsidR="00000000" w:rsidRDefault="00534ED8">
      <w:pPr>
        <w:divId w:val="649135845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Historic Assets </w:t>
      </w:r>
      <w:proofErr w:type="gramStart"/>
      <w:r>
        <w:rPr>
          <w:rFonts w:ascii="Calibri" w:eastAsia="Times New Roman" w:hAnsi="Calibri"/>
          <w:sz w:val="20"/>
          <w:szCs w:val="20"/>
        </w:rPr>
        <w:t>Under</w:t>
      </w:r>
      <w:proofErr w:type="gramEnd"/>
      <w:r>
        <w:rPr>
          <w:rFonts w:ascii="Calibri" w:eastAsia="Times New Roman" w:hAnsi="Calibri"/>
          <w:sz w:val="20"/>
          <w:szCs w:val="20"/>
        </w:rPr>
        <w:t xml:space="preserve"> Management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7104"/>
      </w:tblGrid>
      <w:tr w:rsidR="00000000">
        <w:trPr>
          <w:divId w:val="131295291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OF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HEDGE FUND ASSETS (USD mn)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9,061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30-Jun-20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9,929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10,159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11,500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30-Jun-19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8,440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31-Dec-18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10,227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12,409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01-Jun-18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12,683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12,516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31-Dec-17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12,603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12,267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31-Aug-17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12,387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31-Jul-17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12,366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11,752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11,894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31-Aug-16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12,256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30-Apr-16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12,778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13,390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13,612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31-Dec-14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14,615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01-Oct-14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14,146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01-May-14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14,372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30-Sep-13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13,001</w:t>
            </w:r>
          </w:p>
        </w:tc>
      </w:tr>
      <w:tr w:rsidR="00000000">
        <w:trPr>
          <w:divId w:val="1312952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11,463</w:t>
            </w:r>
          </w:p>
        </w:tc>
      </w:tr>
    </w:tbl>
    <w:p w:rsidR="00000000" w:rsidRDefault="00534ED8">
      <w:pPr>
        <w:pStyle w:val="Heading3"/>
        <w:shd w:val="clear" w:color="auto" w:fill="A8A8A8"/>
        <w:divId w:val="184570335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Contacts - </w:t>
      </w:r>
    </w:p>
    <w:p w:rsidR="00000000" w:rsidRDefault="00534ED8">
      <w:pPr>
        <w:pStyle w:val="Heading3"/>
        <w:shd w:val="clear" w:color="auto" w:fill="A8A8A8"/>
        <w:divId w:val="57019158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24 known contacts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6"/>
        <w:gridCol w:w="6"/>
        <w:gridCol w:w="3600"/>
        <w:gridCol w:w="929"/>
        <w:gridCol w:w="3348"/>
        <w:gridCol w:w="1215"/>
        <w:gridCol w:w="694"/>
      </w:tblGrid>
      <w:tr w:rsidR="00000000">
        <w:trPr>
          <w:divId w:val="71061309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Suzanna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Nutton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Partner, Chair of the Management Committee &amp; CEO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Gideon Adler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2117169346"/>
              <w:rPr>
                <w:rFonts w:ascii="Calibri" w:eastAsia="Times New Roman" w:hAnsi="Calibr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/>
                </w:rPr>
                <w:t>gadler@lansdownepartners.com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Avigad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Partner, Portfolio Manager &amp; European Equities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863013011"/>
              <w:rPr>
                <w:rFonts w:ascii="Calibri" w:eastAsia="Times New Roman" w:hAnsi="Calibri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/>
                </w:rPr>
                <w:t>davigad@lansdownepartners.com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Rav</w:t>
            </w:r>
            <w:r>
              <w:rPr>
                <w:rFonts w:ascii="Calibri" w:eastAsia="Times New Roman" w:hAnsi="Calibri"/>
                <w:sz w:val="20"/>
                <w:szCs w:val="20"/>
              </w:rPr>
              <w:t>inder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Bahra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Risk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939828899"/>
              <w:rPr>
                <w:rFonts w:ascii="Calibri" w:eastAsia="Times New Roman" w:hAnsi="Calibri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/>
                </w:rPr>
                <w:t>ravinder.bahra@cqsm.com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Drew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Besser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275288931"/>
              <w:rPr>
                <w:rFonts w:ascii="Calibri" w:eastAsia="Times New Roman" w:hAnsi="Calibri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/>
                </w:rPr>
                <w:t>dbesser@lansdownepartners.com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Bougourd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909802345"/>
              <w:rPr>
                <w:rFonts w:ascii="Calibri" w:eastAsia="Times New Roman" w:hAnsi="Calibri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/>
                </w:rPr>
                <w:t>abougourd@lansdownepartners.com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 Julian Colville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Business Development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 PD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Craigen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Partner &amp; Portfolio </w:t>
            </w:r>
            <w:r>
              <w:rPr>
                <w:rFonts w:ascii="Calibri" w:eastAsia="Times New Roman" w:hAnsi="Calibri"/>
                <w:sz w:val="20"/>
                <w:szCs w:val="20"/>
              </w:rPr>
              <w:t>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Peter Davies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Senior Partner, Head of Developed Markets Strategy &amp; Fund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Sjoerd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538592418"/>
              <w:rPr>
                <w:rFonts w:ascii="Calibri" w:eastAsia="Times New Roman" w:hAnsi="Calibr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Calibri" w:eastAsia="Times New Roman" w:hAnsi="Calibri"/>
                </w:rPr>
                <w:t>sdekoning@lansdownepartners.com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Earlam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85004955"/>
              <w:rPr>
                <w:rFonts w:ascii="Calibri" w:eastAsia="Times New Roman" w:hAnsi="Calibri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Calibri" w:eastAsia="Times New Roman" w:hAnsi="Calibri"/>
                </w:rPr>
                <w:t>mearlam@lansdownepartners.com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Nishant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Gupta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336568627"/>
              <w:rPr>
                <w:rFonts w:ascii="Calibri" w:eastAsia="Times New Roman" w:hAnsi="Calibri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Calibri" w:eastAsia="Times New Roman" w:hAnsi="Calibri"/>
                </w:rPr>
                <w:t>ngupta@lansdownepartners.com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Brian Heyworth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Head - Institutional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(0)80 0358 3011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Nigel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Hikmet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477461818"/>
              <w:rPr>
                <w:rFonts w:ascii="Calibri" w:eastAsia="Times New Roman" w:hAnsi="Calibr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Calibri" w:eastAsia="Times New Roman" w:hAnsi="Calibri"/>
                </w:rPr>
                <w:t>nhikme</w:t>
              </w:r>
              <w:r>
                <w:rPr>
                  <w:rStyle w:val="Hyperlink"/>
                  <w:rFonts w:ascii="Calibri" w:eastAsia="Times New Roman" w:hAnsi="Calibri"/>
                </w:rPr>
                <w:t>t@lansdownepartners.com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Eirik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Hogner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148014168"/>
              <w:rPr>
                <w:rFonts w:ascii="Calibri" w:eastAsia="Times New Roman" w:hAnsi="Calibr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Calibri" w:eastAsia="Times New Roman" w:hAnsi="Calibri"/>
                </w:rPr>
                <w:t>ehogner@lansdownepartners.com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Jenny Hood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Business Development &amp; Investor Relations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Daniel Hunter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Trader &amp;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819688611"/>
              <w:rPr>
                <w:rFonts w:ascii="Calibri" w:eastAsia="Times New Roman" w:hAnsi="Calibri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Calibri" w:eastAsia="Times New Roman" w:hAnsi="Calibri"/>
                </w:rPr>
                <w:t>dhunter@lansdownepartners.com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Alex Ingham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Operations Business Anal</w:t>
            </w:r>
            <w:r>
              <w:rPr>
                <w:rFonts w:ascii="Calibri" w:eastAsia="Times New Roman" w:hAnsi="Calibri"/>
                <w:sz w:val="20"/>
                <w:szCs w:val="20"/>
              </w:rPr>
              <w:t>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724526172"/>
              <w:rPr>
                <w:rFonts w:ascii="Calibri" w:eastAsia="Times New Roman" w:hAnsi="Calibri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Calibri" w:eastAsia="Times New Roman" w:hAnsi="Calibri"/>
                </w:rPr>
                <w:t>aingham@lansdownepartners.com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Samuel Joab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Michael Lawson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Partner, Fund Management, Business Development &amp; Investor Relations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Lekander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Hugh Orange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Partner, CFO, CCO &amp; </w:t>
            </w:r>
            <w:r>
              <w:rPr>
                <w:rFonts w:ascii="Calibri" w:eastAsia="Times New Roman" w:hAnsi="Calibri"/>
                <w:sz w:val="20"/>
                <w:szCs w:val="20"/>
              </w:rPr>
              <w:t>Member of Management Committee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Simpkin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Partner, Member of Management Committee &amp; Head of Business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Development and Investor Relations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lastRenderedPageBreak/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+44 (0)20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HF</w:t>
            </w:r>
          </w:p>
        </w:tc>
      </w:tr>
      <w:tr w:rsidR="00000000">
        <w:trPr>
          <w:divId w:val="7106130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BD &amp; IR Team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Business Development &amp; Investor Relations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divId w:val="1387141590"/>
              <w:rPr>
                <w:rFonts w:ascii="Calibri" w:eastAsia="Times New Roman" w:hAnsi="Calibri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Calibri" w:eastAsia="Times New Roman" w:hAnsi="Calibri"/>
                </w:rPr>
                <w:t>bdteam@LansdownePartners.com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7290 5500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</w:tbl>
    <w:p w:rsidR="00000000" w:rsidRDefault="00534ED8">
      <w:pPr>
        <w:pStyle w:val="Heading3"/>
        <w:shd w:val="clear" w:color="auto" w:fill="A8A8A8"/>
        <w:divId w:val="101773027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Hedge Funds - Hedge Funds</w:t>
      </w:r>
    </w:p>
    <w:p w:rsidR="00000000" w:rsidRDefault="00534ED8">
      <w:pPr>
        <w:pStyle w:val="Heading4"/>
        <w:divId w:val="133294926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Fund Types</w:t>
      </w:r>
    </w:p>
    <w:p w:rsidR="00000000" w:rsidRDefault="00534ED8">
      <w:pPr>
        <w:pStyle w:val="keyinfotilecontentblocktext"/>
        <w:divId w:val="133294926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Hedge Fund</w:t>
      </w:r>
    </w:p>
    <w:p w:rsidR="00000000" w:rsidRDefault="00534ED8">
      <w:pPr>
        <w:pStyle w:val="Heading4"/>
        <w:divId w:val="18463342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Structures of Funds Offered</w:t>
      </w:r>
    </w:p>
    <w:p w:rsidR="00000000" w:rsidRDefault="00534ED8">
      <w:pPr>
        <w:pStyle w:val="keyinfotilecontentblocktext"/>
        <w:divId w:val="184633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Commingled, Fund of One, Separately Managed Account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7828757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Separately Managed Accounts</w:t>
            </w:r>
          </w:p>
        </w:tc>
      </w:tr>
      <w:tr w:rsidR="00000000">
        <w:trPr>
          <w:divId w:val="107828757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</w:tbl>
    <w:p w:rsidR="00000000" w:rsidRDefault="00534ED8">
      <w:pPr>
        <w:pStyle w:val="Heading3"/>
        <w:divId w:val="192545412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Strategies Employed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0305295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Equity Strategies</w:t>
            </w:r>
          </w:p>
        </w:tc>
      </w:tr>
      <w:tr w:rsidR="00000000">
        <w:trPr>
          <w:divId w:val="120305295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Equity, Sector-Focused</w:t>
            </w:r>
          </w:p>
        </w:tc>
      </w:tr>
    </w:tbl>
    <w:p w:rsidR="00000000" w:rsidRDefault="00534ED8">
      <w:pPr>
        <w:pStyle w:val="Heading3"/>
        <w:divId w:val="170532333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Trading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811"/>
        <w:gridCol w:w="3231"/>
        <w:gridCol w:w="2645"/>
      </w:tblGrid>
      <w:tr w:rsidR="00000000">
        <w:trPr>
          <w:divId w:val="26982146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Activist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Analysis Approach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Trading Methodology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Trading Volatility</w:t>
            </w:r>
          </w:p>
        </w:tc>
      </w:tr>
      <w:tr w:rsidR="00000000">
        <w:trPr>
          <w:divId w:val="2698214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Both Top Down and Bottom 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Discretionary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</w:tr>
    </w:tbl>
    <w:p w:rsidR="00000000" w:rsidRDefault="00534ED8">
      <w:pPr>
        <w:pStyle w:val="Heading3"/>
        <w:divId w:val="88186209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Primary Geographic Preferences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4"/>
        <w:gridCol w:w="4066"/>
      </w:tblGrid>
      <w:tr w:rsidR="00000000">
        <w:trPr>
          <w:divId w:val="903369538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Global (All)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Europe</w:t>
            </w:r>
          </w:p>
        </w:tc>
      </w:tr>
      <w:tr w:rsidR="00000000">
        <w:trPr>
          <w:divId w:val="90336953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</w:tr>
    </w:tbl>
    <w:p w:rsidR="00000000" w:rsidRDefault="00534ED8">
      <w:pPr>
        <w:pStyle w:val="Heading3"/>
        <w:divId w:val="163610628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Methods of Investment Employed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764"/>
        <w:gridCol w:w="4002"/>
        <w:gridCol w:w="4529"/>
        <w:gridCol w:w="1069"/>
      </w:tblGrid>
      <w:tr w:rsidR="00000000">
        <w:trPr>
          <w:divId w:val="26083807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Debt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Derivatives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Derivative Markets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Other</w:t>
            </w:r>
          </w:p>
        </w:tc>
      </w:tr>
      <w:tr w:rsidR="00000000">
        <w:trPr>
          <w:divId w:val="26083807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Equities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Forward Contracts, Futures Contracts, Options, Swaps, Warrants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Equity Derivatives, Foreign Exchange Derivatives, Interest Rate Derivatives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Currency, ETFs</w:t>
            </w:r>
          </w:p>
        </w:tc>
      </w:tr>
    </w:tbl>
    <w:p w:rsidR="00000000" w:rsidRDefault="00534ED8">
      <w:pPr>
        <w:pStyle w:val="Heading3"/>
        <w:divId w:val="139435154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Raw Materials &amp; Natural Resources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Mining, Materials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Financial &amp;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 xml:space="preserve"> Insurance Services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Energy &amp; Utilities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Oil &amp; Gas, Power &amp; Utilities, Renewable Energy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Industrials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Telecoms &amp; Media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Telecoms, Media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Healthcare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Healthcare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Real Estate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Consumer Discretionary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7694729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Diversified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534ED8">
      <w:pPr>
        <w:pStyle w:val="Heading3"/>
        <w:divId w:val="161953353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Verticals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1177911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Clean Technology</w:t>
            </w:r>
          </w:p>
        </w:tc>
      </w:tr>
      <w:tr w:rsidR="00000000">
        <w:trPr>
          <w:divId w:val="111177911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534ED8">
      <w:pPr>
        <w:pStyle w:val="Heading3"/>
        <w:shd w:val="clear" w:color="auto" w:fill="A8A8A8"/>
        <w:divId w:val="136874983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Hedge Funds Managed - Hedge Funds - 13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881"/>
        <w:gridCol w:w="1069"/>
        <w:gridCol w:w="666"/>
        <w:gridCol w:w="1081"/>
        <w:gridCol w:w="859"/>
        <w:gridCol w:w="1444"/>
        <w:gridCol w:w="1179"/>
        <w:gridCol w:w="1146"/>
      </w:tblGrid>
      <w:tr w:rsidR="00000000">
        <w:trPr>
          <w:divId w:val="144109754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Share Classes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Inception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Core 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Open to Investments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Structure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Latest AUM (mn)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Landsowne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European Absolute Opportunities Fund Onshore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01-Nov-02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Clean Energy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02-Oct-17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Fund LP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01-Aug-01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Fund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01-Jan-01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Master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01-Aug-01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9682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Strategic Investment Fund LP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02-Jul-07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130/30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Strategic Investment Fund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01-Jul-07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130/30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Strategic Investment Master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01-Jul-07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130/30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Energy Dynamics Fund Offshore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01-Jan-15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625.534841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European Absolute Opportunities Fund Offshore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01-Sep-98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263.138649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European Absolute Opportunities Master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14-Oct-13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Global Financials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01-Jul-04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1400</w:t>
            </w:r>
          </w:p>
        </w:tc>
      </w:tr>
      <w:tr w:rsidR="00000000">
        <w:trPr>
          <w:divId w:val="14410975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Lansdowne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Princay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27-Apr-15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166.154377</w:t>
            </w:r>
          </w:p>
        </w:tc>
      </w:tr>
    </w:tbl>
    <w:p w:rsidR="00000000" w:rsidRDefault="00534ED8">
      <w:pPr>
        <w:pStyle w:val="Heading3"/>
        <w:shd w:val="clear" w:color="auto" w:fill="A8A8A8"/>
        <w:divId w:val="1304583578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lastRenderedPageBreak/>
        <w:t>Hedge Funds Performance - 8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194"/>
        <w:gridCol w:w="1042"/>
        <w:gridCol w:w="703"/>
        <w:gridCol w:w="370"/>
        <w:gridCol w:w="823"/>
        <w:gridCol w:w="1346"/>
        <w:gridCol w:w="1346"/>
        <w:gridCol w:w="1432"/>
      </w:tblGrid>
      <w:tr w:rsidR="00000000">
        <w:trPr>
          <w:divId w:val="146874384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UND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CORE 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1 MONTH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YTD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12 MONTHS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3 YEARS ANNUALISED (%)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5 YEARS ANNUALISED (%)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SHARPE RATIO (SINCE INCEPTION)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Developed Markets Master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Energy Dynamics Fund Offshore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-3.03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-3.03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27.35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11.13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1.03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Energy Dynamics Fund Offshore - USD Non-Restricted B Class Non-Voting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-3.03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-3.03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27.35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11.13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1.03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European Absolute Opportunities Fund Offshore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-6.38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-6.94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0.29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European Absolute Opportunities Fund Offshore - B Class Euro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-6.38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-6.94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0.29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Lansdowne Global Financials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0.74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Lansdowne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Princay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</w:t>
            </w:r>
            <w:r>
              <w:rPr>
                <w:rFonts w:ascii="Calibri" w:eastAsia="Times New Roman" w:hAnsi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-5.80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-5.80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-23.53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-11.74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-0.15</w:t>
            </w:r>
          </w:p>
        </w:tc>
      </w:tr>
      <w:tr w:rsidR="00000000">
        <w:trPr>
          <w:divId w:val="14687438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Lansdowne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Princay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Fund - Euro Class 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-5.80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-5.80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-23.53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-11.74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-0.15</w:t>
            </w:r>
          </w:p>
        </w:tc>
      </w:tr>
    </w:tbl>
    <w:p w:rsidR="00000000" w:rsidRDefault="00534ED8">
      <w:pPr>
        <w:pStyle w:val="Heading3"/>
        <w:shd w:val="clear" w:color="auto" w:fill="A8A8A8"/>
        <w:divId w:val="136112947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Investors - 97 Known 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108"/>
        <w:gridCol w:w="2246"/>
        <w:gridCol w:w="1374"/>
        <w:gridCol w:w="1015"/>
        <w:gridCol w:w="963"/>
      </w:tblGrid>
      <w:tr w:rsidR="00000000">
        <w:trPr>
          <w:divId w:val="74661217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ABS Investment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Greenwich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ACP Partners 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Advance Asset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Asset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All Seasons Capital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Baie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American University in Cairo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Endowment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Annie E. Casey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Baltimore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Arcelormittal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USA VEBA Master Trust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Banque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Heritage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Geneva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Banque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Piguet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Galland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Yverdon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-les-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Bains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Baring Asset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BCV Asset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</w:t>
            </w:r>
            <w:r>
              <w:rPr>
                <w:rFonts w:ascii="Calibri" w:eastAsia="Times New Roman" w:hAnsi="Calibri"/>
                <w:sz w:val="20"/>
                <w:szCs w:val="20"/>
              </w:rPr>
              <w:t>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Lausanne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Boca Raton Regional Hospital Employees Pension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Boca Raton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Butterfield Asset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Bermuda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CalPERS - California Public Employees' </w:t>
            </w:r>
            <w:r>
              <w:rPr>
                <w:rFonts w:ascii="Calibri" w:eastAsia="Times New Roman" w:hAnsi="Calibri"/>
                <w:sz w:val="20"/>
                <w:szCs w:val="20"/>
              </w:rPr>
              <w:t>Retirement System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Sacramento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Candriam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of Hedge Funds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Strassen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Luxembourg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Carnegie Corporation of 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Central New York Community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Syracuse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Chambers Family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Denver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Coca Cola Company Pension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Atlanta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7466121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Colorado Health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Denver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</w:tbl>
    <w:p w:rsidR="00000000" w:rsidRDefault="00534ED8">
      <w:pPr>
        <w:pStyle w:val="Heading3"/>
        <w:shd w:val="clear" w:color="auto" w:fill="A8A8A8"/>
        <w:divId w:val="128426993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Breakdown</w:t>
      </w:r>
    </w:p>
    <w:p w:rsidR="00000000" w:rsidRDefault="00534ED8">
      <w:pPr>
        <w:divId w:val="1954316263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534ED8">
      <w:pPr>
        <w:divId w:val="117340783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534ED8">
      <w:pPr>
        <w:divId w:val="943995956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534ED8">
      <w:pPr>
        <w:divId w:val="612522709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534ED8">
      <w:pPr>
        <w:pStyle w:val="keyinfolistitem--title"/>
        <w:divId w:val="6661362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534ED8">
      <w:pPr>
        <w:pStyle w:val="keyinfolistitem--value"/>
        <w:divId w:val="6661362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</w:p>
    <w:p w:rsidR="00000000" w:rsidRDefault="00534ED8">
      <w:pPr>
        <w:numPr>
          <w:ilvl w:val="0"/>
          <w:numId w:val="1"/>
        </w:numPr>
        <w:spacing w:before="100" w:beforeAutospacing="1" w:after="100" w:afterAutospacing="1" w:line="240" w:lineRule="auto"/>
        <w:divId w:val="1469469310"/>
        <w:rPr>
          <w:rFonts w:ascii="Calibri" w:eastAsia="Times New Roman" w:hAnsi="Calibri"/>
          <w:sz w:val="20"/>
          <w:szCs w:val="20"/>
        </w:rPr>
      </w:pPr>
      <w:hyperlink r:id="rId22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534ED8">
      <w:pPr>
        <w:numPr>
          <w:ilvl w:val="0"/>
          <w:numId w:val="1"/>
        </w:numPr>
        <w:spacing w:before="100" w:beforeAutospacing="1" w:after="100" w:afterAutospacing="1" w:line="240" w:lineRule="auto"/>
        <w:divId w:val="1469469310"/>
        <w:rPr>
          <w:rFonts w:ascii="Calibri" w:eastAsia="Times New Roman" w:hAnsi="Calibri"/>
          <w:sz w:val="20"/>
          <w:szCs w:val="20"/>
        </w:rPr>
      </w:pPr>
      <w:hyperlink r:id="rId23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534ED8">
      <w:pPr>
        <w:numPr>
          <w:ilvl w:val="0"/>
          <w:numId w:val="1"/>
        </w:numPr>
        <w:spacing w:before="100" w:beforeAutospacing="1" w:after="100" w:afterAutospacing="1" w:line="240" w:lineRule="auto"/>
        <w:divId w:val="1469469310"/>
        <w:rPr>
          <w:rFonts w:ascii="Calibri" w:eastAsia="Times New Roman" w:hAnsi="Calibri"/>
          <w:sz w:val="20"/>
          <w:szCs w:val="20"/>
        </w:rPr>
      </w:pPr>
      <w:hyperlink r:id="rId24" w:history="1">
        <w:r>
          <w:rPr>
            <w:rStyle w:val="Hyperlink"/>
            <w:rFonts w:ascii="Calibri" w:eastAsia="Times New Roman" w:hAnsi="Calibri"/>
          </w:rPr>
          <w:t>Industry Verticals</w:t>
        </w:r>
      </w:hyperlink>
    </w:p>
    <w:p w:rsidR="00000000" w:rsidRDefault="00534ED8">
      <w:pPr>
        <w:numPr>
          <w:ilvl w:val="0"/>
          <w:numId w:val="1"/>
        </w:numPr>
        <w:spacing w:before="100" w:beforeAutospacing="1" w:after="100" w:afterAutospacing="1" w:line="240" w:lineRule="auto"/>
        <w:divId w:val="1469469310"/>
        <w:rPr>
          <w:rFonts w:ascii="Calibri" w:eastAsia="Times New Roman" w:hAnsi="Calibri"/>
          <w:sz w:val="20"/>
          <w:szCs w:val="20"/>
        </w:rPr>
      </w:pPr>
      <w:hyperlink r:id="rId25" w:history="1">
        <w:r>
          <w:rPr>
            <w:rStyle w:val="Hyperlink"/>
            <w:rFonts w:ascii="Calibri" w:eastAsia="Times New Roman" w:hAnsi="Calibri"/>
          </w:rPr>
          <w:t>Investment Stage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996"/>
        <w:gridCol w:w="5571"/>
      </w:tblGrid>
      <w:tr w:rsidR="00000000">
        <w:trPr>
          <w:divId w:val="146946931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146946931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North America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534ED8">
      <w:pPr>
        <w:pStyle w:val="Heading3"/>
        <w:shd w:val="clear" w:color="auto" w:fill="A8A8A8"/>
        <w:divId w:val="199474761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Capital Deals - Venture Capital - 1 Deal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685"/>
        <w:gridCol w:w="1862"/>
        <w:gridCol w:w="569"/>
        <w:gridCol w:w="869"/>
        <w:gridCol w:w="1273"/>
        <w:gridCol w:w="1342"/>
        <w:gridCol w:w="1006"/>
        <w:gridCol w:w="1771"/>
      </w:tblGrid>
      <w:tr w:rsidR="00000000">
        <w:trPr>
          <w:divId w:val="52625705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52625705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MightyTV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Mobile Apps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</w:tbl>
    <w:p w:rsidR="00000000" w:rsidRDefault="00534ED8">
      <w:pPr>
        <w:pStyle w:val="Heading3"/>
        <w:shd w:val="clear" w:color="auto" w:fill="A8A8A8"/>
        <w:divId w:val="175007517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Co-Investors - Venture Capital - 29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1258"/>
        <w:gridCol w:w="2121"/>
        <w:gridCol w:w="1329"/>
        <w:gridCol w:w="2716"/>
      </w:tblGrid>
      <w:tr w:rsidR="00000000">
        <w:trPr>
          <w:divId w:val="173049051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137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Abu Dhabi Investment Council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Abu Dhabi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United Arab Emirates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Accel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Baillie Gifford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Edinburgh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Coca-Cola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Atlanta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Creandum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D. E. Shaw Investment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DST Global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 SAR - China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Digital Sky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Discovery Capital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Dragoneer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Investment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Fidelity Investments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Smithfield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Founders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GSV Asset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Woodside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Goldman Sachs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Groupe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Arnault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Halcyon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Kleiner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Perkins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Shing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 SAR - China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Northzone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Rinkelberg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Schoenfeld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Senvest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Spotify 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TCV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TPG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Fort Worth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Telia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Wellington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Munich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7304905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blisce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534ED8">
      <w:pPr>
        <w:pStyle w:val="Heading3"/>
        <w:shd w:val="clear" w:color="auto" w:fill="A8A8A8"/>
        <w:divId w:val="43873542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Fund Service Providers - 18 Fund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1808"/>
        <w:gridCol w:w="1164"/>
        <w:gridCol w:w="1413"/>
        <w:gridCol w:w="2360"/>
      </w:tblGrid>
      <w:tr w:rsidR="00000000">
        <w:trPr>
          <w:divId w:val="60950829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Bank of America Merrill Lynch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Bank of America Merrill Lynch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BNP Paribas Prime Brokerage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Citco Fund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Administrator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Citi Transaction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Credit Suisse Prime Fund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Deutsche Bank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Jersey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Auditor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Goldman Sachs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Goldman Sachs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HSBC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HSBC Prime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J.P. Morgan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J.P. Morgan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Morgan Stanley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Morgan Stanley Prime Brokerage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UBS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Zurich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  <w:tr w:rsidR="00000000">
        <w:trPr>
          <w:divId w:val="60950829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UBS Prime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4E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Prime Broker</w:t>
            </w:r>
          </w:p>
        </w:tc>
      </w:tr>
    </w:tbl>
    <w:p w:rsidR="00000000" w:rsidRDefault="00534ED8">
      <w:pPr>
        <w:divId w:val="609508293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41CB"/>
    <w:multiLevelType w:val="multilevel"/>
    <w:tmpl w:val="AF2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8"/>
    <w:rsid w:val="00534ED8"/>
    <w:rsid w:val="00E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982DE-262C-45CF-8406-77B58A7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color w:val="696969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pPr>
      <w:spacing w:before="90" w:after="9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3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color w:val="696969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tilecontentblocktext">
    <w:name w:val="keyinfotile__contentblock__text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headertitle">
    <w:name w:val="tileheader__title"/>
    <w:basedOn w:val="Normal"/>
    <w:pPr>
      <w:shd w:val="clear" w:color="auto" w:fill="A8A8A8"/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rderinallres">
    <w:name w:val="borderinallres"/>
    <w:basedOn w:val="Normal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withkeyinfoandlisttablesubtitle">
    <w:name w:val="tilewithkeyinfoandlist__tablesubtitle"/>
    <w:basedOn w:val="Normal"/>
    <w:pPr>
      <w:pBdr>
        <w:bottom w:val="single" w:sz="6" w:space="0" w:color="4F5255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">
    <w:name w:val="keyinfowithtables__item__header"/>
    <w:basedOn w:val="Normal"/>
    <w:pPr>
      <w:pBdr>
        <w:bottom w:val="single" w:sz="6" w:space="4" w:color="D8D8D8"/>
      </w:pBdr>
      <w:shd w:val="clear" w:color="auto" w:fill="F1F1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keyinfowithtablesitem">
    <w:name w:val="keyinfowithtables__item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1">
    <w:name w:val="keyinfowithtables__item__header1"/>
    <w:basedOn w:val="Normal"/>
    <w:pPr>
      <w:pBdr>
        <w:bottom w:val="single" w:sz="6" w:space="4" w:color="D8D8D8"/>
      </w:pBdr>
      <w:shd w:val="clear" w:color="auto" w:fill="F0F6F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eyinfolistitem--title">
    <w:name w:val="keyinfolistitem-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listitem--value">
    <w:name w:val="keyinfolistitem--valu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actstablelocationcity">
    <w:name w:val="contactstable__location__city"/>
    <w:basedOn w:val="DefaultParagraphFont"/>
  </w:style>
  <w:style w:type="character" w:customStyle="1" w:styleId="js-name">
    <w:name w:val="js-name"/>
    <w:basedOn w:val="DefaultParagraphFont"/>
  </w:style>
  <w:style w:type="character" w:customStyle="1" w:styleId="js-arrow">
    <w:name w:val="js-arrow"/>
    <w:basedOn w:val="DefaultParagraphFont"/>
  </w:style>
  <w:style w:type="character" w:customStyle="1" w:styleId="sorticon">
    <w:name w:val="sorticon"/>
    <w:basedOn w:val="DefaultParagraphFont"/>
  </w:style>
  <w:style w:type="character" w:customStyle="1" w:styleId="path1">
    <w:name w:val="path1"/>
    <w:basedOn w:val="DefaultParagraphFont"/>
  </w:style>
  <w:style w:type="character" w:customStyle="1" w:styleId="path2">
    <w:name w:val="path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7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0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0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2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0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7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2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3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9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2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Customs%20House%20Plaza,%20Block%206,%20IFSC,%201" TargetMode="External"/><Relationship Id="rId13" Type="http://schemas.openxmlformats.org/officeDocument/2006/relationships/hyperlink" Target="mailto:abougourd@lansdownepartners.com" TargetMode="External"/><Relationship Id="rId18" Type="http://schemas.openxmlformats.org/officeDocument/2006/relationships/hyperlink" Target="mailto:ehogner@lansdownepartn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dteam@LansdownePartners.com" TargetMode="External"/><Relationship Id="rId7" Type="http://schemas.openxmlformats.org/officeDocument/2006/relationships/hyperlink" Target="http://www.lansdownepartners.com" TargetMode="External"/><Relationship Id="rId12" Type="http://schemas.openxmlformats.org/officeDocument/2006/relationships/hyperlink" Target="mailto:dbesser@lansdownepartners.com" TargetMode="External"/><Relationship Id="rId17" Type="http://schemas.openxmlformats.org/officeDocument/2006/relationships/hyperlink" Target="mailto:nhikmet@lansdownepartners.com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mailto:ngupta@lansdownepartners.com" TargetMode="External"/><Relationship Id="rId20" Type="http://schemas.openxmlformats.org/officeDocument/2006/relationships/hyperlink" Target="mailto:aingham@lansdownepartn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lansdownepartners.com" TargetMode="External"/><Relationship Id="rId11" Type="http://schemas.openxmlformats.org/officeDocument/2006/relationships/hyperlink" Target="mailto:ravinder.bahra@cqsm.com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earlam@lansdownepartners.com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mailto:davigad@lansdownepartners.com" TargetMode="External"/><Relationship Id="rId19" Type="http://schemas.openxmlformats.org/officeDocument/2006/relationships/hyperlink" Target="mailto:dhunter@lansdowne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dler@lansdownepartners.com" TargetMode="External"/><Relationship Id="rId14" Type="http://schemas.openxmlformats.org/officeDocument/2006/relationships/hyperlink" Target="mailto:sdekoning@lansdownepartners.com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Tortoise Capital Advisors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Goff</dc:creator>
  <cp:lastModifiedBy>Jeremy Goff</cp:lastModifiedBy>
  <cp:revision>2</cp:revision>
  <dcterms:created xsi:type="dcterms:W3CDTF">2021-03-08T15:31:00Z</dcterms:created>
  <dcterms:modified xsi:type="dcterms:W3CDTF">2021-03-08T15:31:00Z</dcterms:modified>
</cp:coreProperties>
</file>